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E22" w:rsidRDefault="00997E22" w:rsidP="00997E22">
      <w:pPr>
        <w:pStyle w:val="Header"/>
        <w:pBdr>
          <w:bottom w:val="single" w:sz="4" w:space="1" w:color="auto"/>
        </w:pBdr>
        <w:tabs>
          <w:tab w:val="clear" w:pos="4320"/>
          <w:tab w:val="clear" w:pos="8640"/>
          <w:tab w:val="right" w:pos="9000"/>
        </w:tabs>
      </w:pPr>
      <w:r>
        <w:rPr>
          <w:noProof/>
        </w:rPr>
        <w:t>21 December 2016</w:t>
      </w:r>
      <w:r>
        <w:tab/>
        <w:t>6:170-AP2, E1</w:t>
      </w:r>
    </w:p>
    <w:p w:rsidR="00997E22" w:rsidRDefault="00997E22" w:rsidP="00997E22">
      <w:pPr>
        <w:tabs>
          <w:tab w:val="right" w:pos="9000"/>
        </w:tabs>
      </w:pPr>
    </w:p>
    <w:p w:rsidR="00997E22" w:rsidRDefault="00997E22" w:rsidP="00997E22">
      <w:pPr>
        <w:pStyle w:val="Heading1"/>
        <w:spacing w:after="0"/>
      </w:pPr>
      <w:r>
        <w:t>Instruction</w:t>
      </w:r>
    </w:p>
    <w:p w:rsidR="00997E22" w:rsidRDefault="00997E22" w:rsidP="00997E22">
      <w:pPr>
        <w:pStyle w:val="Heading2"/>
        <w:spacing w:before="0" w:after="0"/>
        <w:rPr>
          <w:b w:val="0"/>
          <w:u w:val="none"/>
        </w:rPr>
      </w:pPr>
      <w:r>
        <w:t>Administrative Procedure - District Annual Report Card Required by Every Student Succeeds Act (ESSA)</w:t>
      </w:r>
      <w:r>
        <w:rPr>
          <w:b w:val="0"/>
          <w:u w:val="none"/>
        </w:rPr>
        <w:t xml:space="preserve"> </w:t>
      </w:r>
    </w:p>
    <w:p w:rsidR="00997E22" w:rsidRDefault="00997E22" w:rsidP="00997E22">
      <w:pPr>
        <w:pStyle w:val="BodyText"/>
        <w:spacing w:before="0" w:after="0"/>
      </w:pPr>
      <w:r w:rsidRPr="00152396">
        <w:t>Districts must disseminate an annual report card that includes information on the District as a whole and each school served by the District, with aggregate and disaggregated information for each required subgroup of students, including: (a) student achievement on academic assessments (designated by category), (b) graduation rates, district performance, teacher qualifications, and (c) other required information required by Section</w:t>
      </w:r>
      <w:r>
        <w:t xml:space="preserve"> 6311(h)(2)(C) of ESSA.</w:t>
      </w:r>
    </w:p>
    <w:p w:rsidR="00997E22" w:rsidRDefault="00997E22" w:rsidP="00997E22">
      <w:pPr>
        <w:pStyle w:val="SUBHEADING"/>
        <w:spacing w:before="0" w:after="0"/>
      </w:pPr>
      <w:r>
        <w:rPr>
          <w:noProof/>
        </w:rPr>
        <mc:AlternateContent>
          <mc:Choice Requires="wps">
            <w:drawing>
              <wp:anchor distT="0" distB="0" distL="114300" distR="114300" simplePos="0" relativeHeight="251659264" behindDoc="0" locked="0" layoutInCell="1" allowOverlap="1">
                <wp:simplePos x="0" y="0"/>
                <wp:positionH relativeFrom="column">
                  <wp:posOffset>3376930</wp:posOffset>
                </wp:positionH>
                <wp:positionV relativeFrom="paragraph">
                  <wp:posOffset>-2503170</wp:posOffset>
                </wp:positionV>
                <wp:extent cx="2438400" cy="514350"/>
                <wp:effectExtent l="0"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E22" w:rsidRDefault="00997E22" w:rsidP="00997E22">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5.9pt;margin-top:-197.1pt;width:19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9c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" filled="f" stroked="f">
                <v:textbox>
                  <w:txbxContent>
                    <w:p w:rsidR="00997E22" w:rsidRDefault="00997E22" w:rsidP="00997E22">
                      <w:pPr>
                        <w:jc w:val="right"/>
                      </w:pPr>
                    </w:p>
                  </w:txbxContent>
                </v:textbox>
              </v:shape>
            </w:pict>
          </mc:Fallback>
        </mc:AlternateContent>
      </w:r>
      <w:r>
        <w:t>District Annual Report Card</w:t>
      </w:r>
    </w:p>
    <w:p w:rsidR="00997E22" w:rsidRDefault="00997E22" w:rsidP="00997E22">
      <w:pPr>
        <w:pStyle w:val="BodyText"/>
        <w:spacing w:before="0" w:after="0"/>
      </w:pPr>
      <w:r>
        <w:t>The Illinois State Board of Education (ISBE) will ensure that the District:</w:t>
      </w:r>
    </w:p>
    <w:p w:rsidR="00997E22" w:rsidRPr="00F8292B" w:rsidRDefault="00997E22" w:rsidP="00997E22">
      <w:pPr>
        <w:pStyle w:val="LISTNUMBERDOUBLE"/>
        <w:numPr>
          <w:ilvl w:val="0"/>
          <w:numId w:val="2"/>
        </w:numPr>
        <w:spacing w:before="0" w:after="0"/>
        <w:ind w:left="360"/>
      </w:pPr>
      <w:r w:rsidRPr="00F8292B">
        <w:t>Collects the appropriate data for its annual report card, including:</w:t>
      </w:r>
    </w:p>
    <w:p w:rsidR="00997E22" w:rsidRDefault="00997E22" w:rsidP="00997E22">
      <w:pPr>
        <w:pStyle w:val="ListAlphaLower"/>
        <w:numPr>
          <w:ilvl w:val="0"/>
          <w:numId w:val="3"/>
        </w:numPr>
        <w:ind w:left="720"/>
      </w:pPr>
      <w:r>
        <w:t xml:space="preserve">ISBE’s State Report Card Information (see </w:t>
      </w:r>
      <w:r w:rsidRPr="00E139E4">
        <w:rPr>
          <w:b/>
        </w:rPr>
        <w:t xml:space="preserve">ISBE Annual Report Card Requirements </w:t>
      </w:r>
      <w:r>
        <w:rPr>
          <w:b/>
        </w:rPr>
        <w:t>in</w:t>
      </w:r>
      <w:r w:rsidRPr="00E139E4">
        <w:rPr>
          <w:b/>
        </w:rPr>
        <w:t xml:space="preserve"> 20 U.S.C. §6311(h)(1)(C)</w:t>
      </w:r>
      <w:r>
        <w:t xml:space="preserve"> subhead, below) disaggregated in the same manner as ISBE is required to present it, as that information applies to the District and each of its schools, including:</w:t>
      </w:r>
    </w:p>
    <w:p w:rsidR="00997E22" w:rsidRDefault="00997E22" w:rsidP="00997E22">
      <w:pPr>
        <w:pStyle w:val="LISTNUMBERDOUBLE"/>
        <w:numPr>
          <w:ilvl w:val="0"/>
          <w:numId w:val="4"/>
        </w:numPr>
        <w:spacing w:before="0" w:after="0"/>
        <w:ind w:left="1440"/>
      </w:pPr>
      <w:r>
        <w:t>I</w:t>
      </w:r>
      <w:r w:rsidRPr="00686CB9">
        <w:t xml:space="preserve">nformation that shows how students </w:t>
      </w:r>
      <w:r>
        <w:t xml:space="preserve">in the District </w:t>
      </w:r>
      <w:r w:rsidRPr="00686CB9">
        <w:t xml:space="preserve">achieved on the academic assessments described in 20 U.S.C. §6311(b)(2) </w:t>
      </w:r>
      <w:r>
        <w:t xml:space="preserve">(high quality Illinois Assessments) </w:t>
      </w:r>
      <w:r w:rsidRPr="00686CB9">
        <w:t>compared to students in the State as a whole</w:t>
      </w:r>
      <w:r>
        <w:t xml:space="preserve"> (</w:t>
      </w:r>
      <w:r w:rsidRPr="00146603">
        <w:t>20 U.S.C. §6311(h)(</w:t>
      </w:r>
      <w:r>
        <w:t>2</w:t>
      </w:r>
      <w:r w:rsidRPr="00146603">
        <w:t>)(C)(i)</w:t>
      </w:r>
      <w:r>
        <w:t>)</w:t>
      </w:r>
      <w:r w:rsidRPr="00686CB9">
        <w:t>;</w:t>
      </w:r>
    </w:p>
    <w:p w:rsidR="00997E22" w:rsidRDefault="00997E22" w:rsidP="00997E22">
      <w:pPr>
        <w:pStyle w:val="LISTNUMBERDOUBLE"/>
        <w:numPr>
          <w:ilvl w:val="0"/>
          <w:numId w:val="4"/>
        </w:numPr>
        <w:spacing w:before="0" w:after="0"/>
        <w:ind w:left="1440"/>
      </w:pPr>
      <w:r>
        <w:t xml:space="preserve">Information that shows how each student in each of the District’s Schools achieved on the academic assessments described in </w:t>
      </w:r>
      <w:r w:rsidRPr="00146603">
        <w:t xml:space="preserve">described in 20 U.S.C. §6311(b)(2) (high quality </w:t>
      </w:r>
      <w:r>
        <w:t xml:space="preserve">Illinois </w:t>
      </w:r>
      <w:r w:rsidRPr="00146603">
        <w:t>Assessments) compared to students in the State as a whole (20 U.S.C. §6311(h)(</w:t>
      </w:r>
      <w:r>
        <w:t>2</w:t>
      </w:r>
      <w:r w:rsidRPr="00146603">
        <w:t>)(C)(ii))</w:t>
      </w:r>
      <w:r>
        <w:t>; and</w:t>
      </w:r>
    </w:p>
    <w:p w:rsidR="00997E22" w:rsidRDefault="00997E22" w:rsidP="00997E22">
      <w:pPr>
        <w:pStyle w:val="LISTNUMBERDOUBLE"/>
        <w:numPr>
          <w:ilvl w:val="0"/>
          <w:numId w:val="4"/>
        </w:numPr>
        <w:spacing w:before="0" w:after="0"/>
        <w:ind w:left="1440"/>
      </w:pPr>
      <w:r>
        <w:t xml:space="preserve">Any other information that the District determines is appropriate and will best provide parents, students, and other members of the public with information regarding the progress of each school in the District, whether or not such information is included in the annual ISBE report card </w:t>
      </w:r>
      <w:r w:rsidRPr="00146603">
        <w:t>(20 U.S.C. §6311(h)(</w:t>
      </w:r>
      <w:r>
        <w:t>2</w:t>
      </w:r>
      <w:r w:rsidRPr="00146603">
        <w:t>)(C)(ii</w:t>
      </w:r>
      <w:r>
        <w:t>i</w:t>
      </w:r>
      <w:r w:rsidRPr="00146603">
        <w:t>))</w:t>
      </w:r>
      <w:r>
        <w:t>.</w:t>
      </w:r>
    </w:p>
    <w:p w:rsidR="00997E22" w:rsidRPr="00F8292B" w:rsidRDefault="00997E22" w:rsidP="00997E22">
      <w:pPr>
        <w:pStyle w:val="LISTNUMBERDOUBLE"/>
        <w:numPr>
          <w:ilvl w:val="0"/>
          <w:numId w:val="2"/>
        </w:numPr>
        <w:spacing w:before="0" w:after="0"/>
        <w:ind w:left="360"/>
      </w:pPr>
      <w:r w:rsidRPr="00F8292B">
        <w:t>Excludes “results on the Illinois academic assessments in reading and mathematics in grades 4 and 8 of the National Assessment of Educational Progress, compared to the national average of such results (20 U.S.C. §6311(h)(1)(C)(xii)).”</w:t>
      </w:r>
    </w:p>
    <w:p w:rsidR="00997E22" w:rsidRDefault="00997E22" w:rsidP="00997E22">
      <w:pPr>
        <w:pStyle w:val="SUBHEADING"/>
        <w:spacing w:before="0" w:after="0"/>
      </w:pPr>
      <w:r>
        <w:t>I</w:t>
      </w:r>
    </w:p>
    <w:p w:rsidR="00997E22" w:rsidRDefault="00997E22" w:rsidP="00997E22">
      <w:pPr>
        <w:pStyle w:val="SUBHEADING"/>
        <w:spacing w:before="0" w:after="0"/>
      </w:pPr>
      <w:r>
        <w:t xml:space="preserve">SBE Annual Report Card Requirements in </w:t>
      </w:r>
      <w:r w:rsidRPr="00FD205C">
        <w:t>20 U.S.C. §6311(h)(1)(C)</w:t>
      </w:r>
    </w:p>
    <w:p w:rsidR="00997E22" w:rsidRDefault="00997E22" w:rsidP="00997E22">
      <w:pPr>
        <w:pStyle w:val="BodyText"/>
        <w:spacing w:before="0" w:after="0"/>
      </w:pPr>
      <w:r>
        <w:t xml:space="preserve">The following text is a direct copy of </w:t>
      </w:r>
      <w:r w:rsidRPr="00E139E4">
        <w:t>20 U.S.C. §6311(h)(1)(C)</w:t>
      </w:r>
      <w:r>
        <w:t>(i)-(xiv); it states that Illinois’ report card shall include the following information:</w:t>
      </w:r>
    </w:p>
    <w:p w:rsidR="00997E22" w:rsidRDefault="00997E22" w:rsidP="00997E22">
      <w:pPr>
        <w:pStyle w:val="ListAlphaLower"/>
        <w:numPr>
          <w:ilvl w:val="0"/>
          <w:numId w:val="5"/>
        </w:numPr>
        <w:ind w:hanging="540"/>
      </w:pPr>
      <w:r>
        <w:t>A clear and concise description of the State's accountability system under subsection (c), including--</w:t>
      </w:r>
    </w:p>
    <w:p w:rsidR="00997E22" w:rsidRDefault="00997E22" w:rsidP="00997E22">
      <w:pPr>
        <w:pStyle w:val="BodyText"/>
        <w:numPr>
          <w:ilvl w:val="1"/>
          <w:numId w:val="1"/>
        </w:numPr>
        <w:spacing w:before="0" w:after="0"/>
        <w:ind w:left="1620" w:hanging="180"/>
      </w:pPr>
      <w:r>
        <w:t>The minimum number of students that the State determines are necessary to be included in each of the subgroups of students, as defined in subsection (c)(2), for use in the accountability system;</w:t>
      </w:r>
    </w:p>
    <w:p w:rsidR="00997E22" w:rsidRDefault="00997E22" w:rsidP="00997E22">
      <w:pPr>
        <w:pStyle w:val="BodyText"/>
        <w:numPr>
          <w:ilvl w:val="1"/>
          <w:numId w:val="1"/>
        </w:numPr>
        <w:spacing w:before="0" w:after="0"/>
        <w:ind w:left="1620" w:hanging="180"/>
      </w:pPr>
      <w:r>
        <w:t>The long-term goals and measurements of interim progress for all students and for each of the subgroups of students, as defined in subsection (c)(2);</w:t>
      </w:r>
    </w:p>
    <w:p w:rsidR="00997E22" w:rsidRDefault="00997E22" w:rsidP="00997E22">
      <w:pPr>
        <w:pStyle w:val="BodyText"/>
        <w:numPr>
          <w:ilvl w:val="1"/>
          <w:numId w:val="1"/>
        </w:numPr>
        <w:spacing w:before="0" w:after="0"/>
        <w:ind w:left="1620" w:hanging="180"/>
      </w:pPr>
      <w:r>
        <w:t>The indicators described in subsection (c)(4)(B) used to meaningfully differentiate all public schools in the State;</w:t>
      </w:r>
    </w:p>
    <w:p w:rsidR="00997E22" w:rsidRDefault="00997E22" w:rsidP="00997E22">
      <w:pPr>
        <w:pStyle w:val="BodyText"/>
        <w:numPr>
          <w:ilvl w:val="1"/>
          <w:numId w:val="1"/>
        </w:numPr>
        <w:spacing w:before="0" w:after="0"/>
        <w:ind w:left="1620" w:hanging="180"/>
      </w:pPr>
      <w:r>
        <w:t>The State's system for meaningfully differentiating all public schools in the State, including--</w:t>
      </w:r>
    </w:p>
    <w:p w:rsidR="00997E22" w:rsidRDefault="00997E22" w:rsidP="00997E22">
      <w:pPr>
        <w:pStyle w:val="BodyText"/>
        <w:spacing w:before="0" w:after="0"/>
        <w:ind w:left="1800" w:hanging="180"/>
      </w:pPr>
      <w:r>
        <w:t>(aa)</w:t>
      </w:r>
      <w:r>
        <w:tab/>
        <w:t xml:space="preserve">The specific weight of the indicators described in subsection (c)(4)(B) in </w:t>
      </w:r>
      <w:r>
        <w:tab/>
        <w:t>such differentiation;</w:t>
      </w:r>
    </w:p>
    <w:p w:rsidR="00997E22" w:rsidRDefault="00997E22" w:rsidP="00997E22">
      <w:pPr>
        <w:pStyle w:val="BodyText"/>
        <w:spacing w:before="0" w:after="0"/>
        <w:ind w:left="1800" w:hanging="180"/>
      </w:pPr>
      <w:r>
        <w:t>(bb)</w:t>
      </w:r>
      <w:r>
        <w:tab/>
        <w:t>The methodology by which the State differentiates all such schools;</w:t>
      </w:r>
    </w:p>
    <w:p w:rsidR="00997E22" w:rsidRDefault="00997E22" w:rsidP="00997E22">
      <w:pPr>
        <w:pStyle w:val="BodyText"/>
        <w:spacing w:before="0" w:after="0"/>
        <w:ind w:left="1800" w:hanging="180"/>
      </w:pPr>
      <w:r>
        <w:lastRenderedPageBreak/>
        <w:t>(cc)</w:t>
      </w:r>
      <w:r>
        <w:tab/>
        <w:t xml:space="preserve">The methodology by which the State differentiates a school as consistently </w:t>
      </w:r>
      <w:r>
        <w:tab/>
        <w:t xml:space="preserve">underperforming for any subgroup of students described in section </w:t>
      </w:r>
      <w:r>
        <w:tab/>
        <w:t xml:space="preserve">(c)(4)(C)(iii), including the time period used by the State to determine </w:t>
      </w:r>
      <w:r>
        <w:tab/>
        <w:t>consistent underperformance; and</w:t>
      </w:r>
    </w:p>
    <w:p w:rsidR="00997E22" w:rsidRDefault="00997E22" w:rsidP="00997E22">
      <w:pPr>
        <w:pStyle w:val="BodyText"/>
        <w:spacing w:before="0" w:after="0"/>
        <w:ind w:left="1800" w:hanging="180"/>
      </w:pPr>
      <w:r>
        <w:t>(dd)</w:t>
      </w:r>
      <w:r>
        <w:tab/>
        <w:t xml:space="preserve">The methodology by which the State identifies a school for comprehensive </w:t>
      </w:r>
      <w:r>
        <w:tab/>
        <w:t>support and improvement as required under subsection (c)(4)(D)(i);</w:t>
      </w:r>
    </w:p>
    <w:p w:rsidR="00997E22" w:rsidRDefault="00997E22" w:rsidP="00997E22">
      <w:pPr>
        <w:pStyle w:val="BodyText"/>
        <w:numPr>
          <w:ilvl w:val="1"/>
          <w:numId w:val="1"/>
        </w:numPr>
        <w:spacing w:before="0" w:after="0"/>
        <w:ind w:left="1620" w:hanging="180"/>
      </w:pPr>
      <w:r>
        <w:t>The number and names of all public schools in the State identified by the State for comprehensive support and improvement under subsection (c)(4)(D)(i) or implementing targeted support and improvement plans under subsection (d)(2); and</w:t>
      </w:r>
    </w:p>
    <w:p w:rsidR="00997E22" w:rsidRDefault="00997E22" w:rsidP="00997E22">
      <w:pPr>
        <w:pStyle w:val="BodyText"/>
        <w:numPr>
          <w:ilvl w:val="1"/>
          <w:numId w:val="1"/>
        </w:numPr>
        <w:spacing w:before="0" w:after="0"/>
        <w:ind w:left="1620" w:hanging="180"/>
      </w:pPr>
      <w:r>
        <w:t>The exit criteria established by the State as required under clause (i) of subsection (d)(3)(A), including the length of years established under clause (i)(II) of such subsection.</w:t>
      </w:r>
    </w:p>
    <w:p w:rsidR="00997E22" w:rsidRDefault="00997E22" w:rsidP="00997E22">
      <w:pPr>
        <w:pStyle w:val="ListAlphaLower"/>
        <w:numPr>
          <w:ilvl w:val="0"/>
          <w:numId w:val="5"/>
        </w:numPr>
        <w:ind w:hanging="540"/>
      </w:pPr>
      <w:r>
        <w:t>For all students and disaggregated by each subgroup of students described in subsection (b)(2)(B)(xi), homeless status, status as a child in foster care, and status as a student with a parent who is a member of the Armed Forces (as defined in section 101(a)(4) of Title 10) on active duty (as defined in section 101(d)(5)8 of such title), information on student achievement on the academic assessments described in subsection (b)(2) at each level of achievement, as determined by the State under subsection (b)(1).</w:t>
      </w:r>
    </w:p>
    <w:p w:rsidR="00997E22" w:rsidRDefault="00997E22" w:rsidP="00997E22">
      <w:pPr>
        <w:pStyle w:val="ListAlphaLower"/>
        <w:numPr>
          <w:ilvl w:val="0"/>
          <w:numId w:val="5"/>
        </w:numPr>
        <w:ind w:hanging="540"/>
      </w:pPr>
      <w:r>
        <w:t>For all students and disaggregated by each of the subgroups of students, as defined in subsection (c)(2), and for purposes of subclause (II) of this clause, homeless status and status as a child in foster care--</w:t>
      </w:r>
    </w:p>
    <w:p w:rsidR="00997E22" w:rsidRDefault="00997E22" w:rsidP="00997E22">
      <w:pPr>
        <w:pStyle w:val="BodyText"/>
        <w:numPr>
          <w:ilvl w:val="0"/>
          <w:numId w:val="6"/>
        </w:numPr>
        <w:spacing w:before="0" w:after="0"/>
        <w:ind w:left="1620" w:hanging="180"/>
      </w:pPr>
      <w:r>
        <w:t>Information on the performance on the other academic indicator under subsection (c)(4)(B)(ii) for public elementary schools and secondary schools that are not high schools, used by the State in the State accountability system; and</w:t>
      </w:r>
    </w:p>
    <w:p w:rsidR="00997E22" w:rsidRDefault="00997E22" w:rsidP="00997E22">
      <w:pPr>
        <w:pStyle w:val="BodyText"/>
        <w:numPr>
          <w:ilvl w:val="0"/>
          <w:numId w:val="6"/>
        </w:numPr>
        <w:spacing w:before="0" w:after="0"/>
        <w:ind w:left="1620" w:hanging="180"/>
      </w:pPr>
      <w:r>
        <w:t>High school graduation rates, including four-year adjusted cohort graduation rates and, at the State's discretion, extended-year adjusted cohort graduation rates.</w:t>
      </w:r>
    </w:p>
    <w:p w:rsidR="00997E22" w:rsidRDefault="00997E22" w:rsidP="00997E22">
      <w:pPr>
        <w:pStyle w:val="ListAlphaLower"/>
        <w:numPr>
          <w:ilvl w:val="0"/>
          <w:numId w:val="5"/>
        </w:numPr>
        <w:ind w:hanging="540"/>
      </w:pPr>
      <w:r>
        <w:t>Information on the number and percentage of English learners achieving English language proficiency.</w:t>
      </w:r>
    </w:p>
    <w:p w:rsidR="00997E22" w:rsidRDefault="00997E22" w:rsidP="00997E22">
      <w:pPr>
        <w:pStyle w:val="ListAlphaLower"/>
        <w:numPr>
          <w:ilvl w:val="0"/>
          <w:numId w:val="5"/>
        </w:numPr>
        <w:ind w:hanging="540"/>
      </w:pPr>
      <w:r>
        <w:t>For all students and disaggregated by each of the subgroups of students, as defined in subsection (c)(2), information on the performance on the other indicator or indicators of school quality or student success under subsection (c)(4)(B)(v) used by the State in the State accountability system.</w:t>
      </w:r>
    </w:p>
    <w:p w:rsidR="00997E22" w:rsidRDefault="00997E22" w:rsidP="00997E22">
      <w:pPr>
        <w:pStyle w:val="ListAlphaLower"/>
        <w:numPr>
          <w:ilvl w:val="0"/>
          <w:numId w:val="5"/>
        </w:numPr>
        <w:ind w:hanging="540"/>
      </w:pPr>
      <w:r>
        <w:t>Information on the progress of all students and each subgroup of students, as defined in subsection (c)(2), toward meeting the State-designed long term goals under subsection (c)(4)(A), including the progress of all students and each such subgroup of students against the State measurements of interim progress established under such subsection.</w:t>
      </w:r>
    </w:p>
    <w:p w:rsidR="00997E22" w:rsidRDefault="00997E22" w:rsidP="00997E22">
      <w:pPr>
        <w:pStyle w:val="ListAlphaLower"/>
        <w:numPr>
          <w:ilvl w:val="0"/>
          <w:numId w:val="5"/>
        </w:numPr>
        <w:ind w:hanging="540"/>
      </w:pPr>
      <w:r>
        <w:t>For all students and disaggregated by each subgroup of students described in subsection (b)(2)(B)(xi), the percentage of students assessed and not assessed.</w:t>
      </w:r>
    </w:p>
    <w:p w:rsidR="00997E22" w:rsidRDefault="00997E22" w:rsidP="00997E22">
      <w:pPr>
        <w:pStyle w:val="ListAlphaLower"/>
        <w:numPr>
          <w:ilvl w:val="0"/>
          <w:numId w:val="5"/>
        </w:numPr>
        <w:ind w:hanging="540"/>
      </w:pPr>
      <w:r>
        <w:t>Information submitted by the State educational agency and each local educational agency in the State, in accordance with data collection conducted pursuant to section 3413(c)(1) of this title, on--</w:t>
      </w:r>
    </w:p>
    <w:p w:rsidR="00997E22" w:rsidRDefault="00997E22" w:rsidP="00997E22">
      <w:pPr>
        <w:pStyle w:val="BodyText"/>
        <w:numPr>
          <w:ilvl w:val="0"/>
          <w:numId w:val="8"/>
        </w:numPr>
        <w:spacing w:before="0" w:after="0"/>
        <w:ind w:left="1620" w:hanging="180"/>
      </w:pPr>
      <w:r>
        <w:t>Measures of school quality, climate, and safety, including rates of in-school suspensions, out-of-school suspensions, expulsions, school-related arrests, referrals to law enforcement, chronic absenteeism (including both excused and unexcused absences), incidences of violence, including bullying and harassment; and</w:t>
      </w:r>
    </w:p>
    <w:p w:rsidR="00997E22" w:rsidRDefault="00997E22" w:rsidP="00997E22">
      <w:pPr>
        <w:pStyle w:val="BodyText"/>
        <w:numPr>
          <w:ilvl w:val="0"/>
          <w:numId w:val="8"/>
        </w:numPr>
        <w:spacing w:before="0" w:after="0"/>
        <w:ind w:left="1620" w:hanging="180"/>
      </w:pPr>
      <w:r>
        <w:t>The number and percentage of students enrolled in--</w:t>
      </w:r>
    </w:p>
    <w:p w:rsidR="00997E22" w:rsidRDefault="00997E22" w:rsidP="00997E22">
      <w:pPr>
        <w:pStyle w:val="BodyText"/>
        <w:spacing w:before="0" w:after="0"/>
        <w:ind w:left="1800" w:hanging="180"/>
      </w:pPr>
      <w:r>
        <w:t>(aa)</w:t>
      </w:r>
      <w:r>
        <w:tab/>
        <w:t>Preschool programs; and</w:t>
      </w:r>
    </w:p>
    <w:p w:rsidR="00997E22" w:rsidRDefault="00997E22" w:rsidP="00997E22">
      <w:pPr>
        <w:pStyle w:val="BodyText"/>
        <w:spacing w:before="0" w:after="0"/>
        <w:ind w:left="2160" w:hanging="540"/>
      </w:pPr>
      <w:r>
        <w:lastRenderedPageBreak/>
        <w:t>(bb)</w:t>
      </w:r>
      <w:r>
        <w:tab/>
        <w:t>Accelerated coursework to earn postsecondary credit while still in high school, such as Advanced Placement and International Baccalaureate courses and examinations, and dual or concurrent enrollment programs.</w:t>
      </w:r>
    </w:p>
    <w:p w:rsidR="00997E22" w:rsidRDefault="00997E22" w:rsidP="00997E22">
      <w:pPr>
        <w:pStyle w:val="ListAlphaLower"/>
        <w:numPr>
          <w:ilvl w:val="0"/>
          <w:numId w:val="5"/>
        </w:numPr>
        <w:ind w:hanging="540"/>
      </w:pPr>
      <w:r>
        <w:t>The professional qualifications of teachers in the State, including information (that shall be presented in the aggregate and disaggregated by high-poverty compared to low-poverty schools) on the number and percentage of--</w:t>
      </w:r>
    </w:p>
    <w:p w:rsidR="00997E22" w:rsidRDefault="00997E22" w:rsidP="00997E22">
      <w:pPr>
        <w:pStyle w:val="BodyText"/>
        <w:numPr>
          <w:ilvl w:val="0"/>
          <w:numId w:val="7"/>
        </w:numPr>
        <w:spacing w:before="0" w:after="0"/>
        <w:ind w:left="1620" w:hanging="180"/>
      </w:pPr>
      <w:r>
        <w:t>Inexperienced teachers, principals, and other school leaders;</w:t>
      </w:r>
    </w:p>
    <w:p w:rsidR="00997E22" w:rsidRDefault="00997E22" w:rsidP="00997E22">
      <w:pPr>
        <w:pStyle w:val="BodyText"/>
        <w:numPr>
          <w:ilvl w:val="0"/>
          <w:numId w:val="7"/>
        </w:numPr>
        <w:spacing w:before="0" w:after="0"/>
        <w:ind w:left="1620" w:hanging="180"/>
      </w:pPr>
      <w:r>
        <w:t>Teachers teaching with emergency or provisional credentials; and</w:t>
      </w:r>
    </w:p>
    <w:p w:rsidR="00997E22" w:rsidRDefault="00997E22" w:rsidP="00997E22">
      <w:pPr>
        <w:pStyle w:val="BodyText"/>
        <w:numPr>
          <w:ilvl w:val="0"/>
          <w:numId w:val="7"/>
        </w:numPr>
        <w:spacing w:before="0" w:after="0"/>
        <w:ind w:left="1620" w:hanging="180"/>
      </w:pPr>
      <w:r>
        <w:t>Teachers who are not teaching in the subject or field for which the teacher is certified or licensed.</w:t>
      </w:r>
    </w:p>
    <w:p w:rsidR="00997E22" w:rsidRDefault="00997E22" w:rsidP="00997E22">
      <w:pPr>
        <w:pStyle w:val="ListAlphaLower"/>
        <w:numPr>
          <w:ilvl w:val="0"/>
          <w:numId w:val="5"/>
        </w:numPr>
        <w:ind w:hanging="540"/>
      </w:pPr>
      <w:r>
        <w:t>The per-pupil expenditures of Federal, State, and local funds, including actual personnel expenditures and actual nonpersonnel expenditures of Federal, State, and local funds, disaggregated by source of funds, for each local educational agency and each school in the State for the preceding fiscal year.</w:t>
      </w:r>
    </w:p>
    <w:p w:rsidR="00997E22" w:rsidRDefault="00997E22" w:rsidP="00997E22">
      <w:pPr>
        <w:pStyle w:val="ListAlphaLower"/>
        <w:numPr>
          <w:ilvl w:val="0"/>
          <w:numId w:val="5"/>
        </w:numPr>
        <w:ind w:hanging="540"/>
      </w:pPr>
      <w:r>
        <w:t>The number and percentages of students with the most significant cognitive disabilities who take an alternate assessment under subsection (b)(2)(D), by grade and subject.</w:t>
      </w:r>
    </w:p>
    <w:p w:rsidR="00997E22" w:rsidRDefault="00997E22" w:rsidP="00997E22">
      <w:pPr>
        <w:pStyle w:val="ListAlphaLower"/>
        <w:numPr>
          <w:ilvl w:val="0"/>
          <w:numId w:val="5"/>
        </w:numPr>
        <w:ind w:hanging="540"/>
      </w:pPr>
      <w:r>
        <w:t>Results on the State academic assessments in reading and mathematics in grades 4 and 8 of the National Assessment of Educational Progress carried out under section 303(b)(3) of the National Assessment of Educational Progress Authorization Act (20 U.S.C. 9622(b)(3)), compared to the national average of such results.</w:t>
      </w:r>
    </w:p>
    <w:p w:rsidR="00997E22" w:rsidRDefault="00997E22" w:rsidP="00997E22">
      <w:pPr>
        <w:pStyle w:val="ListAlphaLower"/>
        <w:numPr>
          <w:ilvl w:val="0"/>
          <w:numId w:val="5"/>
        </w:numPr>
        <w:ind w:hanging="540"/>
      </w:pPr>
      <w:r>
        <w:t>Where available, for each high school in the State, and beginning with the report card prepared under this paragraph for 2017, the cohort rate (in the aggregate, and disaggregated for each subgroup of students defined in subsection (c)(2)), at which students who graduate from the high school enroll, for the first academic year that begins after the students' graduation--</w:t>
      </w:r>
    </w:p>
    <w:p w:rsidR="00997E22" w:rsidRDefault="00997E22" w:rsidP="00997E22">
      <w:pPr>
        <w:pStyle w:val="BodyText"/>
        <w:numPr>
          <w:ilvl w:val="0"/>
          <w:numId w:val="9"/>
        </w:numPr>
        <w:spacing w:before="0" w:after="0"/>
        <w:ind w:left="1620" w:hanging="180"/>
      </w:pPr>
      <w:r>
        <w:t>In programs of public postsecondary education in the State; and</w:t>
      </w:r>
    </w:p>
    <w:p w:rsidR="00997E22" w:rsidRDefault="00997E22" w:rsidP="00997E22">
      <w:pPr>
        <w:pStyle w:val="BodyText"/>
        <w:numPr>
          <w:ilvl w:val="0"/>
          <w:numId w:val="9"/>
        </w:numPr>
        <w:spacing w:before="0" w:after="0"/>
        <w:ind w:left="1620" w:hanging="180"/>
      </w:pPr>
      <w:r>
        <w:t>If data are available and to the extent practicable, in programs of private postsecondary education in the State or programs of postsecondary education outside the State.</w:t>
      </w:r>
    </w:p>
    <w:p w:rsidR="00997E22" w:rsidRPr="00823110" w:rsidRDefault="00997E22" w:rsidP="00997E22">
      <w:pPr>
        <w:pStyle w:val="ListAlphaLower"/>
        <w:numPr>
          <w:ilvl w:val="0"/>
          <w:numId w:val="5"/>
        </w:numPr>
        <w:ind w:hanging="540"/>
      </w:pPr>
      <w:r>
        <w:t>Any additional information that the State believes will best provide parents, students, and other members of the public with information regarding the progress of each of the State's public elementary schools and secondary schools, which may include the number and percentage of students attaining career and technical proficiencies (9as defined by section 113(b) of the Carl D. Perkins Career and Technical Education Act of 2006 (20 U.S.C. 2323(b)) and reported by States only in a manner consistent with section 113(c) of such Act (20 U.S.C. 2323(c)).</w:t>
      </w:r>
    </w:p>
    <w:p w:rsidR="00466880" w:rsidRDefault="00997E22" w:rsidP="00997E22">
      <w:pPr>
        <w:pStyle w:val="LEGALREF"/>
        <w:spacing w:before="0"/>
      </w:pPr>
      <w:r w:rsidRPr="003D7DB9">
        <w:t>LEGAL REF.:</w:t>
      </w:r>
      <w:r w:rsidRPr="003D7DB9">
        <w:tab/>
        <w:t>20 U.S.C</w:t>
      </w:r>
      <w:r>
        <w:t>. §6311(h)(1)(C) and (h)(2)(C).</w:t>
      </w:r>
      <w:bookmarkStart w:id="0" w:name="_GoBack"/>
      <w:bookmarkEnd w:id="0"/>
    </w:p>
    <w:sectPr w:rsidR="0046688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E41" w:rsidRDefault="00997E22">
    <w:pPr>
      <w:pStyle w:val="Footer"/>
      <w:tabs>
        <w:tab w:val="clear" w:pos="4320"/>
        <w:tab w:val="clear" w:pos="8640"/>
        <w:tab w:val="right" w:pos="9000"/>
      </w:tabs>
    </w:pPr>
  </w:p>
  <w:p w:rsidR="00314E41" w:rsidRDefault="00997E22">
    <w:pPr>
      <w:pStyle w:val="Footer"/>
      <w:tabs>
        <w:tab w:val="clear" w:pos="4320"/>
        <w:tab w:val="clear" w:pos="8640"/>
        <w:tab w:val="right" w:pos="9000"/>
      </w:tabs>
    </w:pPr>
    <w:r>
      <w:t>6:170-AP2, E1</w:t>
    </w:r>
    <w:r>
      <w:tab/>
      <w:t xml:space="preserve">Page </w:t>
    </w:r>
    <w:r>
      <w:fldChar w:fldCharType="begin"/>
    </w:r>
    <w:r>
      <w:instrText xml:space="preserve"> PAGE   \* MERGEFORMAT </w:instrText>
    </w:r>
    <w:r>
      <w:fldChar w:fldCharType="separate"/>
    </w:r>
    <w:r>
      <w:rPr>
        <w:noProof/>
      </w:rPr>
      <w:t>3</w:t>
    </w:r>
    <w:r>
      <w:fldChar w:fldCharType="end"/>
    </w:r>
    <w:r>
      <w:t xml:space="preserve"> of </w:t>
    </w:r>
    <w:r>
      <w:fldChar w:fldCharType="begin"/>
    </w:r>
    <w:r>
      <w:instrText xml:space="preserve"> SECTIONPAGES   \* MER</w:instrText>
    </w:r>
    <w:r>
      <w:instrText xml:space="preserve">GEFORMAT </w:instrText>
    </w:r>
    <w:r>
      <w:fldChar w:fldCharType="separate"/>
    </w:r>
    <w:r>
      <w:rPr>
        <w:noProof/>
      </w:rPr>
      <w:t>3</w:t>
    </w:r>
    <w:r>
      <w:fldChar w:fldCharType="end"/>
    </w:r>
  </w:p>
  <w:p w:rsidR="00314E41" w:rsidRDefault="00997E22"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314E41" w:rsidRDefault="00997E22"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314E41" w:rsidRDefault="00997E22" w:rsidP="00744161">
    <w:pPr>
      <w:keepLines/>
      <w:jc w:val="center"/>
      <w:rPr>
        <w:sz w:val="16"/>
      </w:rPr>
    </w:pPr>
    <w:r>
      <w:rPr>
        <w:sz w:val="16"/>
      </w:rPr>
      <w:t>Please review this material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477"/>
    <w:multiLevelType w:val="hybridMultilevel"/>
    <w:tmpl w:val="D8E208DE"/>
    <w:lvl w:ilvl="0" w:tplc="5A8868B0">
      <w:start w:val="1"/>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444E8"/>
    <w:multiLevelType w:val="hybridMultilevel"/>
    <w:tmpl w:val="82160BA2"/>
    <w:lvl w:ilvl="0" w:tplc="A1E44C9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E6A8F"/>
    <w:multiLevelType w:val="hybridMultilevel"/>
    <w:tmpl w:val="82F8E440"/>
    <w:lvl w:ilvl="0" w:tplc="AC8E56C2">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667FB"/>
    <w:multiLevelType w:val="hybridMultilevel"/>
    <w:tmpl w:val="60F65B20"/>
    <w:lvl w:ilvl="0" w:tplc="AC8E56C2">
      <w:start w:val="1"/>
      <w:numFmt w:val="lowerRoman"/>
      <w:lvlText w:val="%1."/>
      <w:lvlJc w:val="left"/>
      <w:pPr>
        <w:ind w:left="1080" w:hanging="360"/>
      </w:pPr>
      <w:rPr>
        <w:rFonts w:hint="default"/>
      </w:rPr>
    </w:lvl>
    <w:lvl w:ilvl="1" w:tplc="5A8868B0">
      <w:start w:val="1"/>
      <w:numFmt w:val="upperRoman"/>
      <w:lvlText w:val="(%2)"/>
      <w:lvlJc w:val="righ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B149824">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3F4551"/>
    <w:multiLevelType w:val="hybridMultilevel"/>
    <w:tmpl w:val="D8E208DE"/>
    <w:lvl w:ilvl="0" w:tplc="5A8868B0">
      <w:start w:val="1"/>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7612DF"/>
    <w:multiLevelType w:val="hybridMultilevel"/>
    <w:tmpl w:val="D8E208DE"/>
    <w:lvl w:ilvl="0" w:tplc="5A8868B0">
      <w:start w:val="1"/>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18764B"/>
    <w:multiLevelType w:val="singleLevel"/>
    <w:tmpl w:val="4F98EC66"/>
    <w:lvl w:ilvl="0">
      <w:start w:val="1"/>
      <w:numFmt w:val="decimal"/>
      <w:lvlText w:val="%1."/>
      <w:legacy w:legacy="1" w:legacySpace="0" w:legacyIndent="360"/>
      <w:lvlJc w:val="left"/>
      <w:pPr>
        <w:ind w:left="720" w:hanging="360"/>
      </w:pPr>
    </w:lvl>
  </w:abstractNum>
  <w:abstractNum w:abstractNumId="7" w15:restartNumberingAfterBreak="0">
    <w:nsid w:val="7BE374F2"/>
    <w:multiLevelType w:val="hybridMultilevel"/>
    <w:tmpl w:val="D8E208DE"/>
    <w:lvl w:ilvl="0" w:tplc="5A8868B0">
      <w:start w:val="1"/>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61703"/>
    <w:multiLevelType w:val="singleLevel"/>
    <w:tmpl w:val="70E6AEF0"/>
    <w:lvl w:ilvl="0">
      <w:start w:val="1"/>
      <w:numFmt w:val="lowerLetter"/>
      <w:lvlText w:val="%1."/>
      <w:legacy w:legacy="1" w:legacySpace="0" w:legacyIndent="360"/>
      <w:lvlJc w:val="left"/>
      <w:pPr>
        <w:ind w:left="1080" w:hanging="360"/>
      </w:pPr>
    </w:lvl>
  </w:abstractNum>
  <w:num w:numId="1">
    <w:abstractNumId w:val="3"/>
  </w:num>
  <w:num w:numId="2">
    <w:abstractNumId w:val="6"/>
  </w:num>
  <w:num w:numId="3">
    <w:abstractNumId w:val="8"/>
  </w:num>
  <w:num w:numId="4">
    <w:abstractNumId w:val="2"/>
  </w:num>
  <w:num w:numId="5">
    <w:abstractNumId w:val="1"/>
  </w:num>
  <w:num w:numId="6">
    <w:abstractNumId w:val="0"/>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E22"/>
    <w:rsid w:val="00466880"/>
    <w:rsid w:val="0099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FB744-DC9C-4632-B9C2-1A316D85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E22"/>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97E22"/>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97E22"/>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22"/>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97E22"/>
    <w:rPr>
      <w:rFonts w:ascii="Arial" w:eastAsia="Times New Roman" w:hAnsi="Arial" w:cs="Times New Roman"/>
      <w:b/>
      <w:kern w:val="28"/>
      <w:szCs w:val="20"/>
      <w:u w:val="single"/>
    </w:rPr>
  </w:style>
  <w:style w:type="paragraph" w:styleId="BodyText">
    <w:name w:val="Body Text"/>
    <w:basedOn w:val="Normal"/>
    <w:link w:val="BodyTextChar"/>
    <w:rsid w:val="00997E22"/>
    <w:pPr>
      <w:spacing w:before="60" w:after="60"/>
      <w:jc w:val="both"/>
    </w:pPr>
  </w:style>
  <w:style w:type="character" w:customStyle="1" w:styleId="BodyTextChar">
    <w:name w:val="Body Text Char"/>
    <w:basedOn w:val="DefaultParagraphFont"/>
    <w:link w:val="BodyText"/>
    <w:rsid w:val="00997E22"/>
    <w:rPr>
      <w:rFonts w:ascii="Times New Roman" w:eastAsia="Times New Roman" w:hAnsi="Times New Roman" w:cs="Times New Roman"/>
      <w:kern w:val="28"/>
      <w:szCs w:val="20"/>
    </w:rPr>
  </w:style>
  <w:style w:type="paragraph" w:customStyle="1" w:styleId="LEGALREF">
    <w:name w:val="LEGAL REF"/>
    <w:basedOn w:val="Normal"/>
    <w:link w:val="LEGALREFChar"/>
    <w:rsid w:val="00997E22"/>
    <w:pPr>
      <w:keepNext/>
      <w:keepLines/>
      <w:tabs>
        <w:tab w:val="left" w:pos="1800"/>
      </w:tabs>
      <w:suppressAutoHyphens/>
      <w:spacing w:before="360"/>
      <w:ind w:left="2160" w:hanging="2160"/>
      <w:jc w:val="both"/>
    </w:pPr>
    <w:rPr>
      <w:spacing w:val="-2"/>
    </w:rPr>
  </w:style>
  <w:style w:type="paragraph" w:customStyle="1" w:styleId="ListAlphaLower">
    <w:name w:val="List Alpha Lower"/>
    <w:basedOn w:val="Normal"/>
    <w:link w:val="ListAlphaLowerChar"/>
    <w:rsid w:val="00997E22"/>
    <w:pPr>
      <w:ind w:left="1080" w:hanging="360"/>
      <w:jc w:val="both"/>
    </w:pPr>
  </w:style>
  <w:style w:type="paragraph" w:customStyle="1" w:styleId="LISTNUMBERDOUBLE">
    <w:name w:val="LIST NUMBER DOUBLE"/>
    <w:basedOn w:val="ListNumber2"/>
    <w:rsid w:val="00997E22"/>
    <w:pPr>
      <w:tabs>
        <w:tab w:val="clear" w:pos="360"/>
      </w:tabs>
      <w:spacing w:before="60" w:after="60"/>
      <w:contextualSpacing w:val="0"/>
      <w:jc w:val="both"/>
    </w:pPr>
  </w:style>
  <w:style w:type="paragraph" w:customStyle="1" w:styleId="SUBHEADING">
    <w:name w:val="SUBHEADING"/>
    <w:basedOn w:val="Normal"/>
    <w:next w:val="BodyText"/>
    <w:link w:val="SUBHEADINGChar"/>
    <w:rsid w:val="00997E22"/>
    <w:pPr>
      <w:keepNext/>
      <w:spacing w:before="120" w:after="60"/>
    </w:pPr>
    <w:rPr>
      <w:u w:val="single"/>
    </w:rPr>
  </w:style>
  <w:style w:type="paragraph" w:styleId="Header">
    <w:name w:val="header"/>
    <w:basedOn w:val="Normal"/>
    <w:link w:val="HeaderChar"/>
    <w:rsid w:val="00997E22"/>
    <w:pPr>
      <w:tabs>
        <w:tab w:val="center" w:pos="4320"/>
        <w:tab w:val="right" w:pos="8640"/>
      </w:tabs>
    </w:pPr>
  </w:style>
  <w:style w:type="character" w:customStyle="1" w:styleId="HeaderChar">
    <w:name w:val="Header Char"/>
    <w:basedOn w:val="DefaultParagraphFont"/>
    <w:link w:val="Header"/>
    <w:rsid w:val="00997E22"/>
    <w:rPr>
      <w:rFonts w:ascii="Times New Roman" w:eastAsia="Times New Roman" w:hAnsi="Times New Roman" w:cs="Times New Roman"/>
      <w:kern w:val="28"/>
      <w:szCs w:val="20"/>
    </w:rPr>
  </w:style>
  <w:style w:type="paragraph" w:styleId="Footer">
    <w:name w:val="footer"/>
    <w:basedOn w:val="Normal"/>
    <w:link w:val="FooterChar"/>
    <w:rsid w:val="00997E22"/>
    <w:pPr>
      <w:tabs>
        <w:tab w:val="center" w:pos="4320"/>
        <w:tab w:val="right" w:pos="8640"/>
      </w:tabs>
    </w:pPr>
  </w:style>
  <w:style w:type="character" w:customStyle="1" w:styleId="FooterChar">
    <w:name w:val="Footer Char"/>
    <w:basedOn w:val="DefaultParagraphFont"/>
    <w:link w:val="Footer"/>
    <w:rsid w:val="00997E22"/>
    <w:rPr>
      <w:rFonts w:ascii="Times New Roman" w:eastAsia="Times New Roman" w:hAnsi="Times New Roman" w:cs="Times New Roman"/>
      <w:kern w:val="28"/>
      <w:szCs w:val="20"/>
    </w:rPr>
  </w:style>
  <w:style w:type="character" w:customStyle="1" w:styleId="SUBHEADINGChar">
    <w:name w:val="SUBHEADING Char"/>
    <w:link w:val="SUBHEADING"/>
    <w:rsid w:val="00997E22"/>
    <w:rPr>
      <w:rFonts w:ascii="Times New Roman" w:eastAsia="Times New Roman" w:hAnsi="Times New Roman" w:cs="Times New Roman"/>
      <w:kern w:val="28"/>
      <w:szCs w:val="20"/>
      <w:u w:val="single"/>
    </w:rPr>
  </w:style>
  <w:style w:type="character" w:customStyle="1" w:styleId="LEGALREFChar">
    <w:name w:val="LEGAL REF Char"/>
    <w:link w:val="LEGALREF"/>
    <w:rsid w:val="00997E22"/>
    <w:rPr>
      <w:rFonts w:ascii="Times New Roman" w:eastAsia="Times New Roman" w:hAnsi="Times New Roman" w:cs="Times New Roman"/>
      <w:spacing w:val="-2"/>
      <w:kern w:val="28"/>
      <w:szCs w:val="20"/>
    </w:rPr>
  </w:style>
  <w:style w:type="character" w:customStyle="1" w:styleId="ListAlphaLowerChar">
    <w:name w:val="List Alpha Lower Char"/>
    <w:link w:val="ListAlphaLower"/>
    <w:rsid w:val="00997E22"/>
    <w:rPr>
      <w:rFonts w:ascii="Times New Roman" w:eastAsia="Times New Roman" w:hAnsi="Times New Roman" w:cs="Times New Roman"/>
      <w:kern w:val="28"/>
      <w:szCs w:val="20"/>
    </w:rPr>
  </w:style>
  <w:style w:type="paragraph" w:styleId="ListNumber2">
    <w:name w:val="List Number 2"/>
    <w:basedOn w:val="Normal"/>
    <w:uiPriority w:val="99"/>
    <w:semiHidden/>
    <w:unhideWhenUsed/>
    <w:rsid w:val="00997E22"/>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1</cp:revision>
  <dcterms:created xsi:type="dcterms:W3CDTF">2016-11-28T19:40:00Z</dcterms:created>
  <dcterms:modified xsi:type="dcterms:W3CDTF">2016-11-28T19:41:00Z</dcterms:modified>
</cp:coreProperties>
</file>